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66" w:rsidRPr="00146806" w:rsidRDefault="007632D2" w:rsidP="005B14EB">
      <w:pPr>
        <w:spacing w:before="240" w:line="240" w:lineRule="auto"/>
        <w:rPr>
          <w:rFonts w:eastAsia="Times New Roman" w:cs="Helvetica"/>
          <w:color w:val="333333"/>
          <w:lang w:eastAsia="nb-NO"/>
        </w:rPr>
      </w:pPr>
      <w:bookmarkStart w:id="0" w:name="_GoBack"/>
      <w:bookmarkEnd w:id="0"/>
      <w:r w:rsidRPr="00146806">
        <w:rPr>
          <w:rFonts w:eastAsia="Times New Roman" w:cs="Helvetica"/>
          <w:b/>
          <w:color w:val="333333"/>
          <w:kern w:val="36"/>
          <w:lang w:eastAsia="nb-NO"/>
        </w:rPr>
        <w:t>Pensjon: Hva skjer med den offentlige tjenestepensjonen?</w:t>
      </w:r>
      <w:r w:rsidR="00146806">
        <w:rPr>
          <w:rFonts w:eastAsia="Times New Roman" w:cs="Helvetica"/>
          <w:b/>
          <w:color w:val="333333"/>
          <w:kern w:val="36"/>
          <w:lang w:eastAsia="nb-NO"/>
        </w:rPr>
        <w:br/>
      </w:r>
      <w:r w:rsidR="00146806">
        <w:rPr>
          <w:rFonts w:eastAsia="Times New Roman" w:cs="Helvetica"/>
          <w:b/>
          <w:color w:val="333333"/>
          <w:kern w:val="36"/>
          <w:lang w:eastAsia="nb-NO"/>
        </w:rPr>
        <w:br/>
      </w:r>
      <w:r w:rsidR="00746B25" w:rsidRPr="00146806">
        <w:rPr>
          <w:rFonts w:eastAsia="Times New Roman" w:cs="Helvetica"/>
          <w:color w:val="333333"/>
          <w:lang w:eastAsia="nb-NO"/>
        </w:rPr>
        <w:t>Dette vil bli komplisert, sa rådgiver Silje Aslaksen, da hun la fram rapporten om nye pensjo</w:t>
      </w:r>
      <w:r w:rsidR="00972992">
        <w:rPr>
          <w:rFonts w:eastAsia="Times New Roman" w:cs="Helvetica"/>
          <w:color w:val="333333"/>
          <w:lang w:eastAsia="nb-NO"/>
        </w:rPr>
        <w:t xml:space="preserve">nsordninger i offentlig sektor </w:t>
      </w:r>
      <w:r w:rsidR="00746B25" w:rsidRPr="00146806">
        <w:rPr>
          <w:rFonts w:eastAsia="Times New Roman" w:cs="Helvetica"/>
          <w:color w:val="333333"/>
          <w:lang w:eastAsia="nb-NO"/>
        </w:rPr>
        <w:t>på Bedriftenes Møteplass 19. april 2016.</w:t>
      </w:r>
      <w:r w:rsidR="00625502">
        <w:rPr>
          <w:rFonts w:eastAsia="Times New Roman" w:cs="Helvetica"/>
          <w:color w:val="333333"/>
          <w:lang w:eastAsia="nb-NO"/>
        </w:rPr>
        <w:t xml:space="preserve"> </w:t>
      </w:r>
      <w:r w:rsidR="00625502">
        <w:rPr>
          <w:rFonts w:eastAsia="Times New Roman" w:cs="Helvetica"/>
          <w:color w:val="333333"/>
          <w:lang w:eastAsia="nb-NO"/>
        </w:rPr>
        <w:br/>
      </w:r>
      <w:r w:rsidR="00972992">
        <w:rPr>
          <w:rFonts w:eastAsia="Times New Roman" w:cs="Helvetica"/>
          <w:color w:val="333333"/>
          <w:lang w:eastAsia="nb-NO"/>
        </w:rPr>
        <w:br/>
      </w:r>
      <w:r w:rsidR="00972992" w:rsidRPr="00146806">
        <w:rPr>
          <w:rFonts w:eastAsia="Times New Roman" w:cs="Helvetica"/>
          <w:color w:val="333333"/>
          <w:lang w:eastAsia="nb-NO"/>
        </w:rPr>
        <w:t>Silje Aslaksen er rådgiver i pensjonsavdelingen i Arbeids- og sosialdepartementet. Hun var med i ekspertgruppen som leverte rapporten «</w:t>
      </w:r>
      <w:hyperlink r:id="rId6" w:tgtFrame="_blank" w:history="1">
        <w:r w:rsidR="00972992" w:rsidRPr="00146806">
          <w:rPr>
            <w:rFonts w:eastAsia="Times New Roman" w:cs="Helvetica"/>
            <w:color w:val="333333"/>
            <w:lang w:eastAsia="nb-NO"/>
          </w:rPr>
          <w:t>Nye pensjonsordninger i offentlig sektor</w:t>
        </w:r>
      </w:hyperlink>
      <w:r w:rsidR="00972992" w:rsidRPr="00146806">
        <w:rPr>
          <w:rFonts w:eastAsia="Times New Roman" w:cs="Helvetica"/>
          <w:color w:val="333333"/>
          <w:lang w:eastAsia="nb-NO"/>
        </w:rPr>
        <w:t>» på tampen av fjoråret.</w:t>
      </w:r>
      <w:r w:rsidR="00972992">
        <w:rPr>
          <w:rFonts w:eastAsia="Times New Roman" w:cs="Helvetica"/>
          <w:color w:val="333333"/>
          <w:lang w:eastAsia="nb-NO"/>
        </w:rPr>
        <w:br/>
      </w:r>
      <w:r w:rsidR="00625502">
        <w:rPr>
          <w:rFonts w:eastAsia="Times New Roman" w:cs="Helvetica"/>
          <w:color w:val="333333"/>
          <w:lang w:eastAsia="nb-NO"/>
        </w:rPr>
        <w:br/>
      </w:r>
      <w:r w:rsidR="00146EA5">
        <w:rPr>
          <w:rFonts w:eastAsia="Times New Roman" w:cs="Helvetica"/>
          <w:color w:val="333333"/>
          <w:lang w:eastAsia="nb-NO"/>
        </w:rPr>
        <w:t>Hun pekte på at å</w:t>
      </w:r>
      <w:r w:rsidR="00625502" w:rsidRPr="00146806">
        <w:rPr>
          <w:rFonts w:eastAsia="Times New Roman" w:cs="Helvetica"/>
          <w:color w:val="333333"/>
          <w:lang w:eastAsia="nb-NO"/>
        </w:rPr>
        <w:t xml:space="preserve"> endre et pensjonssystem tar lang tid. Rapporten drøfter hvorfor et langsiktig perspektiv er viktig, og argumenterer for at en bør ta fatt i utfordringene i offentlig tjenestepensjon nå, og ikke om 10 – 15 år.</w:t>
      </w:r>
      <w:r w:rsidR="00625502">
        <w:rPr>
          <w:rFonts w:eastAsia="Times New Roman" w:cs="Helvetica"/>
          <w:color w:val="333333"/>
          <w:lang w:eastAsia="nb-NO"/>
        </w:rPr>
        <w:br/>
      </w:r>
      <w:r w:rsidR="005B14EB">
        <w:rPr>
          <w:rFonts w:eastAsia="Times New Roman" w:cs="Helvetica"/>
          <w:color w:val="333333"/>
          <w:lang w:eastAsia="nb-NO"/>
        </w:rPr>
        <w:br/>
        <w:t>Arbeids- og sosial</w:t>
      </w:r>
      <w:r w:rsidR="00267966" w:rsidRPr="00146806">
        <w:rPr>
          <w:rFonts w:eastAsia="Times New Roman" w:cs="Helvetica"/>
          <w:color w:val="333333"/>
          <w:lang w:eastAsia="nb-NO"/>
        </w:rPr>
        <w:t>ministeren og partene</w:t>
      </w:r>
      <w:r w:rsidR="00625502">
        <w:rPr>
          <w:rFonts w:eastAsia="Times New Roman" w:cs="Helvetica"/>
          <w:color w:val="333333"/>
          <w:lang w:eastAsia="nb-NO"/>
        </w:rPr>
        <w:t xml:space="preserve"> i arbeidslivet</w:t>
      </w:r>
      <w:r w:rsidR="00267966" w:rsidRPr="00146806">
        <w:rPr>
          <w:rFonts w:eastAsia="Times New Roman" w:cs="Helvetica"/>
          <w:color w:val="333333"/>
          <w:lang w:eastAsia="nb-NO"/>
        </w:rPr>
        <w:t xml:space="preserve"> ble 12. juni 2015 enige om at det er grunnlag for å gå videre med dette arbeidet. Rapporten er ikke et forslag til ny lov, men gir et mulighetsrom for hvordan en ny lov kan utformes.</w:t>
      </w:r>
    </w:p>
    <w:p w:rsidR="00756929" w:rsidRPr="00146806" w:rsidRDefault="00267966" w:rsidP="000F6A45">
      <w:pPr>
        <w:pStyle w:val="NormalWeb"/>
        <w:rPr>
          <w:rFonts w:asciiTheme="minorHAnsi" w:hAnsiTheme="minorHAnsi"/>
          <w:sz w:val="22"/>
          <w:szCs w:val="22"/>
        </w:rPr>
      </w:pPr>
      <w:r w:rsidRPr="00146806">
        <w:rPr>
          <w:rFonts w:asciiTheme="minorHAnsi" w:hAnsiTheme="minorHAnsi" w:cs="Helvetica"/>
          <w:color w:val="333333"/>
          <w:sz w:val="22"/>
          <w:szCs w:val="22"/>
        </w:rPr>
        <w:t>Silje</w:t>
      </w:r>
      <w:r w:rsidR="006F6E89">
        <w:rPr>
          <w:rFonts w:asciiTheme="minorHAnsi" w:hAnsiTheme="minorHAnsi" w:cs="Helvetica"/>
          <w:color w:val="333333"/>
          <w:sz w:val="22"/>
          <w:szCs w:val="22"/>
        </w:rPr>
        <w:t xml:space="preserve"> Aslaksen</w:t>
      </w:r>
      <w:r w:rsidRPr="00146806">
        <w:rPr>
          <w:rFonts w:asciiTheme="minorHAnsi" w:hAnsiTheme="minorHAnsi" w:cs="Helvetica"/>
          <w:color w:val="333333"/>
          <w:sz w:val="22"/>
          <w:szCs w:val="22"/>
        </w:rPr>
        <w:t xml:space="preserve"> beskrev hvordan folketrygden var før og etter pensjonsreformen, og beskrev til slutt ulike mulige modellvalg.</w:t>
      </w:r>
      <w:r w:rsidR="00E83F6C">
        <w:rPr>
          <w:rFonts w:asciiTheme="minorHAnsi" w:hAnsiTheme="minorHAnsi" w:cs="Helvetica"/>
          <w:color w:val="333333"/>
          <w:sz w:val="22"/>
          <w:szCs w:val="22"/>
        </w:rPr>
        <w:br/>
      </w:r>
      <w:r w:rsidR="00E83F6C">
        <w:rPr>
          <w:rFonts w:asciiTheme="minorHAnsi" w:hAnsiTheme="minorHAnsi" w:cs="Helvetica"/>
          <w:color w:val="333333"/>
          <w:sz w:val="22"/>
          <w:szCs w:val="22"/>
        </w:rPr>
        <w:br/>
      </w:r>
      <w:r w:rsidRPr="00146806">
        <w:rPr>
          <w:rFonts w:asciiTheme="minorHAnsi" w:hAnsiTheme="minorHAnsi" w:cs="Helvetica"/>
          <w:color w:val="333333"/>
          <w:sz w:val="22"/>
          <w:szCs w:val="22"/>
        </w:rPr>
        <w:t>Rapporten beskriver r</w:t>
      </w:r>
      <w:r w:rsidR="00625502">
        <w:rPr>
          <w:rFonts w:asciiTheme="minorHAnsi" w:hAnsiTheme="minorHAnsi" w:cs="Helvetica"/>
          <w:color w:val="333333"/>
          <w:sz w:val="22"/>
          <w:szCs w:val="22"/>
        </w:rPr>
        <w:t>ammeverket</w:t>
      </w:r>
      <w:r w:rsidRPr="00146806">
        <w:rPr>
          <w:rFonts w:asciiTheme="minorHAnsi" w:hAnsiTheme="minorHAnsi" w:cs="Helvetica"/>
          <w:color w:val="333333"/>
          <w:sz w:val="22"/>
          <w:szCs w:val="22"/>
        </w:rPr>
        <w:t xml:space="preserve"> for offentlig tjenestepensjon, og skisserer virkninger av alternative utforminger. </w:t>
      </w:r>
      <w:r w:rsidR="00E83F6C">
        <w:rPr>
          <w:rFonts w:asciiTheme="minorHAnsi" w:hAnsiTheme="minorHAnsi" w:cs="Helvetica"/>
          <w:color w:val="333333"/>
          <w:sz w:val="22"/>
          <w:szCs w:val="22"/>
        </w:rPr>
        <w:br/>
      </w:r>
      <w:r w:rsidR="00E83F6C">
        <w:rPr>
          <w:rFonts w:asciiTheme="minorHAnsi" w:hAnsiTheme="minorHAnsi" w:cs="Helvetica"/>
          <w:color w:val="333333"/>
          <w:sz w:val="22"/>
          <w:szCs w:val="22"/>
        </w:rPr>
        <w:br/>
      </w:r>
      <w:r w:rsidRPr="00146806">
        <w:rPr>
          <w:rFonts w:asciiTheme="minorHAnsi" w:hAnsiTheme="minorHAnsi" w:cs="Helvetica"/>
          <w:color w:val="333333"/>
          <w:sz w:val="22"/>
          <w:szCs w:val="22"/>
        </w:rPr>
        <w:t xml:space="preserve">Forhandlingsløsningen fra </w:t>
      </w:r>
      <w:r w:rsidR="00E83F6C">
        <w:rPr>
          <w:rFonts w:cs="Helvetica"/>
          <w:color w:val="333333"/>
        </w:rPr>
        <w:t xml:space="preserve">lønnsoppgjøret </w:t>
      </w:r>
      <w:r w:rsidRPr="00146806">
        <w:rPr>
          <w:rFonts w:asciiTheme="minorHAnsi" w:hAnsiTheme="minorHAnsi" w:cs="Helvetica"/>
          <w:color w:val="333333"/>
          <w:sz w:val="22"/>
          <w:szCs w:val="22"/>
        </w:rPr>
        <w:t>2009 innebærer at offentlig sektor står utenfor viktige deler av pensjonsreformen, samtidig som offentlig ansatte vil bli omfattet av viktige innsparende elementer som levealdersjustering av pensjonen. Disse elementene vil få økende betydning over tid.</w:t>
      </w:r>
      <w:r w:rsidR="00E83F6C">
        <w:rPr>
          <w:rFonts w:asciiTheme="minorHAnsi" w:hAnsiTheme="minorHAnsi" w:cs="Helvetica"/>
          <w:color w:val="333333"/>
          <w:sz w:val="22"/>
          <w:szCs w:val="22"/>
        </w:rPr>
        <w:br/>
      </w:r>
      <w:r w:rsidR="00D35828">
        <w:rPr>
          <w:rFonts w:asciiTheme="minorHAnsi" w:hAnsiTheme="minorHAnsi" w:cs="Helvetica"/>
          <w:color w:val="333333"/>
          <w:sz w:val="22"/>
          <w:szCs w:val="22"/>
        </w:rPr>
        <w:br/>
      </w:r>
      <w:r w:rsidR="00D35828">
        <w:rPr>
          <w:rFonts w:asciiTheme="minorHAnsi" w:hAnsiTheme="minorHAnsi" w:cs="Helvetica"/>
          <w:b/>
          <w:color w:val="333333"/>
          <w:sz w:val="22"/>
          <w:szCs w:val="22"/>
        </w:rPr>
        <w:t>Mandat</w:t>
      </w:r>
      <w:r w:rsidR="00E83F6C">
        <w:rPr>
          <w:rFonts w:asciiTheme="minorHAnsi" w:hAnsiTheme="minorHAnsi" w:cs="Helvetica"/>
          <w:color w:val="333333"/>
          <w:sz w:val="22"/>
          <w:szCs w:val="22"/>
        </w:rPr>
        <w:br/>
      </w:r>
      <w:r w:rsidR="00746B25" w:rsidRPr="00146806">
        <w:rPr>
          <w:rFonts w:asciiTheme="minorHAnsi" w:hAnsiTheme="minorHAnsi" w:cs="Helvetica"/>
          <w:color w:val="333333"/>
          <w:sz w:val="22"/>
          <w:szCs w:val="22"/>
        </w:rPr>
        <w:t>Ekspertgruppens m</w:t>
      </w:r>
      <w:r w:rsidR="00E23BF9" w:rsidRPr="00146806">
        <w:rPr>
          <w:rFonts w:asciiTheme="minorHAnsi" w:hAnsiTheme="minorHAnsi" w:cs="Helvetica"/>
          <w:color w:val="333333"/>
          <w:sz w:val="22"/>
          <w:szCs w:val="22"/>
        </w:rPr>
        <w:t>andat</w:t>
      </w:r>
      <w:r w:rsidR="00746B25" w:rsidRPr="00146806">
        <w:rPr>
          <w:rFonts w:asciiTheme="minorHAnsi" w:hAnsiTheme="minorHAnsi" w:cs="Helvetica"/>
          <w:color w:val="333333"/>
          <w:sz w:val="22"/>
          <w:szCs w:val="22"/>
        </w:rPr>
        <w:t xml:space="preserve"> var</w:t>
      </w:r>
      <w:r w:rsidR="00E23BF9" w:rsidRPr="00146806">
        <w:rPr>
          <w:rFonts w:asciiTheme="minorHAnsi" w:hAnsiTheme="minorHAnsi" w:cs="Helvetica"/>
          <w:color w:val="333333"/>
          <w:sz w:val="22"/>
          <w:szCs w:val="22"/>
        </w:rPr>
        <w:t>:</w:t>
      </w:r>
      <w:r w:rsidR="00E23BF9" w:rsidRPr="00146806">
        <w:rPr>
          <w:rFonts w:asciiTheme="minorHAnsi" w:hAnsiTheme="minorHAnsi" w:cs="Helvetica"/>
          <w:color w:val="333333"/>
          <w:sz w:val="22"/>
          <w:szCs w:val="22"/>
        </w:rPr>
        <w:br/>
        <w:t>«Rapporten skal være grunnlag for å vurdere om man sammen med partene, skal arbeide for å oppnå enighet om nye pensjonsordninger for offentlig ansatte. Dette innebærer at arbeids-gruppen ikke presenterer et konkret forslag til nye pensjonsordninger for offentlig ansatte, men beskriver et mulighetsrom som en ny ordning kan utformes innenfor.»</w:t>
      </w:r>
      <w:r w:rsidR="00E83F6C">
        <w:rPr>
          <w:rFonts w:asciiTheme="minorHAnsi" w:hAnsiTheme="minorHAnsi" w:cs="Helvetica"/>
          <w:color w:val="333333"/>
          <w:sz w:val="22"/>
          <w:szCs w:val="22"/>
        </w:rPr>
        <w:br/>
      </w:r>
      <w:r w:rsidR="00E83F6C">
        <w:rPr>
          <w:rFonts w:asciiTheme="minorHAnsi" w:hAnsiTheme="minorHAnsi" w:cs="Helvetica"/>
          <w:color w:val="333333"/>
          <w:sz w:val="22"/>
          <w:szCs w:val="22"/>
        </w:rPr>
        <w:br/>
      </w:r>
      <w:r w:rsidR="000A2EC2" w:rsidRPr="00146806">
        <w:rPr>
          <w:rFonts w:asciiTheme="minorHAnsi" w:hAnsiTheme="minorHAnsi" w:cs="Helvetica"/>
          <w:color w:val="333333"/>
          <w:sz w:val="22"/>
          <w:szCs w:val="22"/>
        </w:rPr>
        <w:t>I</w:t>
      </w:r>
      <w:r w:rsidR="007619BA" w:rsidRPr="00146806">
        <w:rPr>
          <w:rFonts w:asciiTheme="minorHAnsi" w:hAnsiTheme="minorHAnsi" w:cs="Helvetica"/>
          <w:color w:val="333333"/>
          <w:sz w:val="22"/>
          <w:szCs w:val="22"/>
        </w:rPr>
        <w:t xml:space="preserve"> oppdraget lå</w:t>
      </w:r>
      <w:r w:rsidR="000A2EC2" w:rsidRPr="00146806">
        <w:rPr>
          <w:rFonts w:asciiTheme="minorHAnsi" w:hAnsiTheme="minorHAnsi" w:cs="Helvetica"/>
          <w:color w:val="333333"/>
          <w:sz w:val="22"/>
          <w:szCs w:val="22"/>
        </w:rPr>
        <w:t xml:space="preserve"> det</w:t>
      </w:r>
      <w:r w:rsidR="007619BA" w:rsidRPr="00146806">
        <w:rPr>
          <w:rFonts w:asciiTheme="minorHAnsi" w:hAnsiTheme="minorHAnsi" w:cs="Helvetica"/>
          <w:color w:val="333333"/>
          <w:sz w:val="22"/>
          <w:szCs w:val="22"/>
        </w:rPr>
        <w:t xml:space="preserve"> også at de nye ordningene skal være bedre tilpasset pensjonsreformen</w:t>
      </w:r>
      <w:r w:rsidRPr="00146806">
        <w:rPr>
          <w:rFonts w:asciiTheme="minorHAnsi" w:hAnsiTheme="minorHAnsi" w:cs="Helvetica"/>
          <w:color w:val="333333"/>
          <w:sz w:val="22"/>
          <w:szCs w:val="22"/>
        </w:rPr>
        <w:t>. D</w:t>
      </w:r>
      <w:r w:rsidR="007619BA" w:rsidRPr="00146806">
        <w:rPr>
          <w:rFonts w:asciiTheme="minorHAnsi" w:hAnsiTheme="minorHAnsi" w:cs="Helvetica"/>
          <w:color w:val="333333"/>
          <w:sz w:val="22"/>
          <w:szCs w:val="22"/>
        </w:rPr>
        <w:t xml:space="preserve">epartementet tar utgangspunkt i </w:t>
      </w:r>
      <w:r w:rsidRPr="00146806">
        <w:rPr>
          <w:rFonts w:asciiTheme="minorHAnsi" w:hAnsiTheme="minorHAnsi" w:cs="Helvetica"/>
          <w:color w:val="333333"/>
          <w:sz w:val="22"/>
          <w:szCs w:val="22"/>
        </w:rPr>
        <w:t>prinsippene om at a</w:t>
      </w:r>
      <w:r w:rsidR="007619BA" w:rsidRPr="00146806">
        <w:rPr>
          <w:rFonts w:asciiTheme="minorHAnsi" w:hAnsiTheme="minorHAnsi" w:cs="Helvetica"/>
          <w:color w:val="333333"/>
          <w:sz w:val="22"/>
          <w:szCs w:val="22"/>
        </w:rPr>
        <w:t>lle år i jobb skal gi pensjonsopptjening</w:t>
      </w:r>
      <w:r w:rsidRPr="00146806">
        <w:rPr>
          <w:rFonts w:asciiTheme="minorHAnsi" w:hAnsiTheme="minorHAnsi" w:cs="Helvetica"/>
          <w:color w:val="333333"/>
          <w:sz w:val="22"/>
          <w:szCs w:val="22"/>
        </w:rPr>
        <w:t>, t</w:t>
      </w:r>
      <w:r w:rsidR="007619BA" w:rsidRPr="00146806">
        <w:rPr>
          <w:rFonts w:asciiTheme="minorHAnsi" w:hAnsiTheme="minorHAnsi" w:cs="Helvetica"/>
          <w:color w:val="333333"/>
          <w:sz w:val="22"/>
          <w:szCs w:val="22"/>
        </w:rPr>
        <w:t>jenestepensjonen skal ber</w:t>
      </w:r>
      <w:r w:rsidRPr="00146806">
        <w:rPr>
          <w:rFonts w:asciiTheme="minorHAnsi" w:hAnsiTheme="minorHAnsi" w:cs="Helvetica"/>
          <w:color w:val="333333"/>
          <w:sz w:val="22"/>
          <w:szCs w:val="22"/>
        </w:rPr>
        <w:t>egnes uavhengig av folketrygden og at p</w:t>
      </w:r>
      <w:r w:rsidR="007619BA" w:rsidRPr="00146806">
        <w:rPr>
          <w:rFonts w:asciiTheme="minorHAnsi" w:hAnsiTheme="minorHAnsi" w:cs="Helvetica"/>
          <w:color w:val="333333"/>
          <w:sz w:val="22"/>
          <w:szCs w:val="22"/>
        </w:rPr>
        <w:t xml:space="preserve">ensjonen skal kunne tas ut fleksibelt fra 62 år og kombineres med arbeidsinntekt </w:t>
      </w:r>
      <w:r w:rsidRPr="00146806">
        <w:rPr>
          <w:rFonts w:asciiTheme="minorHAnsi" w:hAnsiTheme="minorHAnsi" w:cs="Helvetica"/>
          <w:color w:val="333333"/>
          <w:sz w:val="22"/>
          <w:szCs w:val="22"/>
        </w:rPr>
        <w:t>uten at pensjonen blir avkortet.</w:t>
      </w:r>
      <w:r w:rsidRPr="00146806">
        <w:rPr>
          <w:rFonts w:asciiTheme="minorHAnsi" w:hAnsiTheme="minorHAnsi" w:cs="Helvetica"/>
          <w:color w:val="333333"/>
          <w:sz w:val="22"/>
          <w:szCs w:val="22"/>
        </w:rPr>
        <w:br/>
      </w:r>
      <w:r w:rsidRPr="00146806">
        <w:rPr>
          <w:rFonts w:asciiTheme="minorHAnsi" w:hAnsiTheme="minorHAnsi" w:cs="Helvetica"/>
          <w:color w:val="333333"/>
          <w:sz w:val="22"/>
          <w:szCs w:val="22"/>
        </w:rPr>
        <w:br/>
        <w:t>Rapporten vurdere</w:t>
      </w:r>
      <w:r w:rsidR="00E83F6C">
        <w:rPr>
          <w:rFonts w:asciiTheme="minorHAnsi" w:hAnsiTheme="minorHAnsi" w:cs="Helvetica"/>
          <w:color w:val="333333"/>
          <w:sz w:val="22"/>
          <w:szCs w:val="22"/>
        </w:rPr>
        <w:t>r</w:t>
      </w:r>
      <w:r w:rsidRPr="00146806">
        <w:rPr>
          <w:rFonts w:asciiTheme="minorHAnsi" w:hAnsiTheme="minorHAnsi" w:cs="Helvetica"/>
          <w:color w:val="333333"/>
          <w:sz w:val="22"/>
          <w:szCs w:val="22"/>
        </w:rPr>
        <w:t xml:space="preserve"> ikke hvor høye ytelser de nye ordningene skal gi, men beskriver egenskaper ved en ny pensjonsløsning og sammenlikner disse med egenskapene ved dagens ordninger. I rapporten sammenliknes også hvilke pensjonsnivåer gamle og nye ordninger kan gi under ulike forutsetninger.</w:t>
      </w:r>
      <w:r w:rsidR="00234CC8">
        <w:rPr>
          <w:rFonts w:asciiTheme="minorHAnsi" w:hAnsiTheme="minorHAnsi" w:cs="Helvetica"/>
          <w:color w:val="333333"/>
          <w:sz w:val="22"/>
          <w:szCs w:val="22"/>
        </w:rPr>
        <w:br/>
      </w:r>
      <w:r w:rsidRPr="00146806">
        <w:rPr>
          <w:rFonts w:asciiTheme="minorHAnsi" w:hAnsiTheme="minorHAnsi" w:cs="Helvetica"/>
          <w:color w:val="333333"/>
          <w:sz w:val="22"/>
          <w:szCs w:val="22"/>
        </w:rPr>
        <w:br/>
      </w:r>
      <w:r w:rsidRPr="00146806">
        <w:rPr>
          <w:rFonts w:asciiTheme="minorHAnsi" w:hAnsiTheme="minorHAnsi" w:cs="Helvetica"/>
          <w:b/>
          <w:color w:val="333333"/>
          <w:sz w:val="22"/>
          <w:szCs w:val="22"/>
        </w:rPr>
        <w:t>Ny alderspensjon i offentlig sektor.</w:t>
      </w:r>
      <w:r w:rsidR="000149D4">
        <w:rPr>
          <w:rFonts w:cs="Helvetica"/>
          <w:b/>
          <w:color w:val="333333"/>
        </w:rPr>
        <w:br/>
      </w:r>
      <w:r w:rsidR="00493D89" w:rsidRPr="00146806">
        <w:rPr>
          <w:rFonts w:asciiTheme="minorHAnsi" w:hAnsiTheme="minorHAnsi" w:cs="Helvetica"/>
          <w:color w:val="333333"/>
          <w:sz w:val="22"/>
          <w:szCs w:val="22"/>
        </w:rPr>
        <w:t xml:space="preserve">Det er bred enighet om at dagens system ikke fungerer optimalt. </w:t>
      </w:r>
      <w:r w:rsidR="00811CC7" w:rsidRPr="00146806">
        <w:rPr>
          <w:rFonts w:asciiTheme="minorHAnsi" w:hAnsiTheme="minorHAnsi" w:cs="Helvetica"/>
          <w:color w:val="333333"/>
          <w:sz w:val="22"/>
          <w:szCs w:val="22"/>
        </w:rPr>
        <w:t>E</w:t>
      </w:r>
      <w:r w:rsidR="00B15154" w:rsidRPr="00146806">
        <w:rPr>
          <w:rFonts w:asciiTheme="minorHAnsi" w:hAnsiTheme="minorHAnsi" w:cs="Helvetica"/>
          <w:color w:val="333333"/>
          <w:sz w:val="22"/>
          <w:szCs w:val="22"/>
        </w:rPr>
        <w:t xml:space="preserve">t prinsipielt utgangspunkt </w:t>
      </w:r>
      <w:r w:rsidR="00493D89" w:rsidRPr="00146806">
        <w:rPr>
          <w:rFonts w:asciiTheme="minorHAnsi" w:hAnsiTheme="minorHAnsi" w:cs="Helvetica"/>
          <w:color w:val="333333"/>
          <w:sz w:val="22"/>
          <w:szCs w:val="22"/>
        </w:rPr>
        <w:t>for a</w:t>
      </w:r>
      <w:r w:rsidR="00B15154" w:rsidRPr="00146806">
        <w:rPr>
          <w:rFonts w:asciiTheme="minorHAnsi" w:hAnsiTheme="minorHAnsi" w:cs="Helvetica"/>
          <w:color w:val="333333"/>
          <w:sz w:val="22"/>
          <w:szCs w:val="22"/>
        </w:rPr>
        <w:t xml:space="preserve">rbeidsgruppen </w:t>
      </w:r>
      <w:r w:rsidR="000149D4">
        <w:rPr>
          <w:rFonts w:cs="Helvetica"/>
          <w:color w:val="333333"/>
        </w:rPr>
        <w:t>va</w:t>
      </w:r>
      <w:r w:rsidR="00B15154" w:rsidRPr="00146806">
        <w:rPr>
          <w:rFonts w:asciiTheme="minorHAnsi" w:hAnsiTheme="minorHAnsi" w:cs="Helvetica"/>
          <w:color w:val="333333"/>
          <w:sz w:val="22"/>
          <w:szCs w:val="22"/>
        </w:rPr>
        <w:t>r at de nye pensjonsordningene må være bedre tilpasset pensjonsreformen</w:t>
      </w:r>
      <w:r w:rsidRPr="00146806">
        <w:rPr>
          <w:rFonts w:asciiTheme="minorHAnsi" w:hAnsiTheme="minorHAnsi" w:cs="Helvetica"/>
          <w:color w:val="333333"/>
          <w:sz w:val="22"/>
          <w:szCs w:val="22"/>
        </w:rPr>
        <w:t xml:space="preserve">. Gruppen </w:t>
      </w:r>
      <w:r w:rsidR="00B15154" w:rsidRPr="00146806">
        <w:rPr>
          <w:rFonts w:asciiTheme="minorHAnsi" w:hAnsiTheme="minorHAnsi" w:cs="Helvetica"/>
          <w:color w:val="333333"/>
          <w:sz w:val="22"/>
          <w:szCs w:val="22"/>
        </w:rPr>
        <w:t xml:space="preserve">har tatt utgangspunkt i at alle år i jobb skal gi pensjonsopptjening, tjenestepensjonen skal beregnes uavhengig av folketrygden og at pensjonen skal kunne tas ut fleksibelt fra 62 år og kombineres med arbeidsinntekt uten at pensjonen blir avkortet. </w:t>
      </w:r>
      <w:r w:rsidR="00234CC8">
        <w:rPr>
          <w:rFonts w:cs="Helvetica"/>
          <w:color w:val="333333"/>
        </w:rPr>
        <w:br/>
      </w:r>
      <w:r w:rsidR="00234CC8">
        <w:rPr>
          <w:rFonts w:cs="Helvetica"/>
          <w:color w:val="333333"/>
        </w:rPr>
        <w:br/>
      </w:r>
      <w:r w:rsidR="00811CC7" w:rsidRPr="00146806">
        <w:rPr>
          <w:rFonts w:asciiTheme="minorHAnsi" w:hAnsiTheme="minorHAnsi" w:cs="Helvetica"/>
          <w:color w:val="333333"/>
          <w:sz w:val="22"/>
          <w:szCs w:val="22"/>
        </w:rPr>
        <w:t>Dersom den nye pensjonsløsningen bygger på disse prinsippene vil den nye tjenestepensjons-</w:t>
      </w:r>
      <w:r w:rsidR="00811CC7" w:rsidRPr="00146806">
        <w:rPr>
          <w:rFonts w:asciiTheme="minorHAnsi" w:hAnsiTheme="minorHAnsi" w:cs="Helvetica"/>
          <w:color w:val="333333"/>
          <w:sz w:val="22"/>
          <w:szCs w:val="22"/>
        </w:rPr>
        <w:lastRenderedPageBreak/>
        <w:t>ordningen være godt tilpasset de øvrige pensjonsordningene; både folketrygden og de private tjenestepensjonsordningene. Det vil også legge til rette for at offentlig ansatte ikke taper pensjon på å ta jobb i privat sektor sent i yrkeslivet, og vil dermed redusere mobilitets-hindrene som dagens ordninger skaper.</w:t>
      </w:r>
      <w:r w:rsidR="00E00ED9">
        <w:rPr>
          <w:rFonts w:asciiTheme="minorHAnsi" w:hAnsiTheme="minorHAnsi" w:cs="Helvetica"/>
          <w:color w:val="333333"/>
          <w:sz w:val="22"/>
          <w:szCs w:val="22"/>
        </w:rPr>
        <w:br/>
      </w:r>
      <w:r w:rsidR="00E00ED9">
        <w:rPr>
          <w:rFonts w:asciiTheme="minorHAnsi" w:hAnsiTheme="minorHAnsi" w:cs="Helvetica"/>
          <w:color w:val="333333"/>
          <w:sz w:val="22"/>
          <w:szCs w:val="22"/>
        </w:rPr>
        <w:br/>
      </w:r>
      <w:r w:rsidR="00B15154" w:rsidRPr="00146806">
        <w:rPr>
          <w:rFonts w:asciiTheme="minorHAnsi" w:hAnsiTheme="minorHAnsi" w:cs="Helvetica"/>
          <w:color w:val="333333"/>
          <w:sz w:val="22"/>
          <w:szCs w:val="22"/>
        </w:rPr>
        <w:t xml:space="preserve">Dette </w:t>
      </w:r>
      <w:r w:rsidR="00811CC7" w:rsidRPr="00146806">
        <w:rPr>
          <w:rFonts w:asciiTheme="minorHAnsi" w:hAnsiTheme="minorHAnsi" w:cs="Helvetica"/>
          <w:color w:val="333333"/>
          <w:sz w:val="22"/>
          <w:szCs w:val="22"/>
        </w:rPr>
        <w:t>innebærer blant også</w:t>
      </w:r>
      <w:r w:rsidR="00B15154" w:rsidRPr="00146806">
        <w:rPr>
          <w:rFonts w:asciiTheme="minorHAnsi" w:hAnsiTheme="minorHAnsi" w:cs="Helvetica"/>
          <w:color w:val="333333"/>
          <w:sz w:val="22"/>
          <w:szCs w:val="22"/>
        </w:rPr>
        <w:t xml:space="preserve"> at AFP ikke kan videreføres som en tidligpensjons-ordning, og at alderspensjonen må utformes etter samme prinsipper som ny alderspensjon i folketrygden, ny AFP i privat sektor og ny tjenestepensjon i privat sektor. AFP-ytelsen i offentlig sektor bør utformes på beholdningsform og at det ikke bør være såkalt tonivåuttak av AFP.</w:t>
      </w:r>
      <w:r w:rsidR="00E00ED9">
        <w:rPr>
          <w:rFonts w:asciiTheme="minorHAnsi" w:hAnsiTheme="minorHAnsi" w:cs="Helvetica"/>
          <w:color w:val="333333"/>
          <w:sz w:val="22"/>
          <w:szCs w:val="22"/>
        </w:rPr>
        <w:t xml:space="preserve"> </w:t>
      </w:r>
      <w:r w:rsidR="00811CC7" w:rsidRPr="00146806">
        <w:rPr>
          <w:rFonts w:asciiTheme="minorHAnsi" w:hAnsiTheme="minorHAnsi" w:cs="Helvetica"/>
          <w:color w:val="333333"/>
          <w:sz w:val="22"/>
          <w:szCs w:val="22"/>
        </w:rPr>
        <w:t>En evt. ny AFP i offentlig sektor må utformes slik at det blir mulig å etablere et system for AFP med en kombinasjon av medlemstid i offentlig og privat sektor. En forutsetning for dette er at ytelsene er om lag like høye, slik at en ikke vinner eller taper AFP ved å bytte mellom offentlig og privat sektor.</w:t>
      </w:r>
      <w:r w:rsidR="00E00ED9">
        <w:rPr>
          <w:rFonts w:asciiTheme="minorHAnsi" w:hAnsiTheme="minorHAnsi" w:cs="Helvetica"/>
          <w:color w:val="333333"/>
          <w:sz w:val="22"/>
          <w:szCs w:val="22"/>
        </w:rPr>
        <w:br/>
      </w:r>
      <w:r w:rsidR="00E00ED9">
        <w:rPr>
          <w:rFonts w:asciiTheme="minorHAnsi" w:hAnsiTheme="minorHAnsi" w:cs="Helvetica"/>
          <w:color w:val="333333"/>
          <w:sz w:val="22"/>
          <w:szCs w:val="22"/>
        </w:rPr>
        <w:br/>
      </w:r>
      <w:r w:rsidR="00493D89" w:rsidRPr="00146806">
        <w:rPr>
          <w:rFonts w:asciiTheme="minorHAnsi" w:hAnsiTheme="minorHAnsi"/>
          <w:b/>
          <w:sz w:val="22"/>
          <w:szCs w:val="22"/>
        </w:rPr>
        <w:t>Modellvalg</w:t>
      </w:r>
      <w:r w:rsidR="00E00ED9">
        <w:rPr>
          <w:rFonts w:asciiTheme="minorHAnsi" w:hAnsiTheme="minorHAnsi"/>
          <w:b/>
          <w:sz w:val="22"/>
          <w:szCs w:val="22"/>
        </w:rPr>
        <w:br/>
      </w:r>
      <w:r w:rsidR="00493D89" w:rsidRPr="00146806">
        <w:rPr>
          <w:rFonts w:asciiTheme="minorHAnsi" w:hAnsiTheme="minorHAnsi"/>
          <w:sz w:val="22"/>
          <w:szCs w:val="22"/>
        </w:rPr>
        <w:t>Silje</w:t>
      </w:r>
      <w:r w:rsidR="00E00ED9">
        <w:rPr>
          <w:rFonts w:asciiTheme="minorHAnsi" w:hAnsiTheme="minorHAnsi"/>
          <w:sz w:val="22"/>
          <w:szCs w:val="22"/>
        </w:rPr>
        <w:t xml:space="preserve"> Aslaksen</w:t>
      </w:r>
      <w:r w:rsidR="00493D89" w:rsidRPr="00146806">
        <w:rPr>
          <w:rFonts w:asciiTheme="minorHAnsi" w:hAnsiTheme="minorHAnsi"/>
          <w:sz w:val="22"/>
          <w:szCs w:val="22"/>
        </w:rPr>
        <w:t xml:space="preserve"> beskrev to alternative modellvalg for ny offentlig tjenestepensjons-ordning: en hybrid- og en påslagsordning.</w:t>
      </w:r>
      <w:r w:rsidR="00E00ED9">
        <w:rPr>
          <w:rFonts w:asciiTheme="minorHAnsi" w:hAnsiTheme="minorHAnsi"/>
          <w:sz w:val="22"/>
          <w:szCs w:val="22"/>
        </w:rPr>
        <w:br/>
      </w:r>
      <w:r w:rsidR="00E00ED9">
        <w:rPr>
          <w:rFonts w:asciiTheme="minorHAnsi" w:hAnsiTheme="minorHAnsi"/>
          <w:sz w:val="22"/>
          <w:szCs w:val="22"/>
        </w:rPr>
        <w:br/>
      </w:r>
      <w:r w:rsidR="00493D89" w:rsidRPr="00146806">
        <w:rPr>
          <w:rFonts w:asciiTheme="minorHAnsi" w:hAnsiTheme="minorHAnsi"/>
          <w:sz w:val="22"/>
          <w:szCs w:val="22"/>
        </w:rPr>
        <w:t xml:space="preserve">Med </w:t>
      </w:r>
      <w:r w:rsidR="00493D89" w:rsidRPr="00146806">
        <w:rPr>
          <w:rFonts w:asciiTheme="minorHAnsi" w:hAnsiTheme="minorHAnsi"/>
          <w:i/>
          <w:sz w:val="22"/>
          <w:szCs w:val="22"/>
        </w:rPr>
        <w:t>hybrid</w:t>
      </w:r>
      <w:r w:rsidR="00493D89" w:rsidRPr="00146806">
        <w:rPr>
          <w:rFonts w:asciiTheme="minorHAnsi" w:hAnsiTheme="minorHAnsi"/>
          <w:sz w:val="22"/>
          <w:szCs w:val="22"/>
        </w:rPr>
        <w:t xml:space="preserve"> menes en pensjonsordning med s</w:t>
      </w:r>
      <w:r w:rsidR="00C82CA3" w:rsidRPr="00146806">
        <w:rPr>
          <w:rFonts w:asciiTheme="minorHAnsi" w:hAnsiTheme="minorHAnsi"/>
          <w:sz w:val="22"/>
          <w:szCs w:val="22"/>
        </w:rPr>
        <w:t>pare</w:t>
      </w:r>
      <w:r w:rsidR="00493D89" w:rsidRPr="00146806">
        <w:rPr>
          <w:rFonts w:asciiTheme="minorHAnsi" w:hAnsiTheme="minorHAnsi"/>
          <w:sz w:val="22"/>
          <w:szCs w:val="22"/>
        </w:rPr>
        <w:t>element i form av innskuddsordning</w:t>
      </w:r>
      <w:r w:rsidR="00577699" w:rsidRPr="00146806">
        <w:rPr>
          <w:rFonts w:asciiTheme="minorHAnsi" w:hAnsiTheme="minorHAnsi"/>
          <w:sz w:val="22"/>
          <w:szCs w:val="22"/>
        </w:rPr>
        <w:t>. Innskuddene bygger opp en «pensjonsbeholdning». Pensjonsbeholdningen tilføres en dødelighetsarv, og utbetalingen av pensjon skal som hovedregel være livsvarig. Pensjonsbeholdningen kan enten ha en årlig regulering i takt med lønnsveksten (alminnelig lønnsvekst eller lønnsveksten i foretaket) eller den kan tilføres den faktiske avkastningen på pensjonsmidlene.</w:t>
      </w:r>
      <w:r w:rsidR="00577699" w:rsidRPr="00146806">
        <w:rPr>
          <w:rFonts w:asciiTheme="minorHAnsi" w:hAnsiTheme="minorHAnsi"/>
          <w:sz w:val="22"/>
          <w:szCs w:val="22"/>
        </w:rPr>
        <w:br/>
      </w:r>
      <w:r w:rsidR="00577699" w:rsidRPr="00146806">
        <w:rPr>
          <w:rFonts w:asciiTheme="minorHAnsi" w:hAnsiTheme="minorHAnsi"/>
          <w:sz w:val="22"/>
          <w:szCs w:val="22"/>
        </w:rPr>
        <w:br/>
        <w:t xml:space="preserve">Utvalget anbefaler en </w:t>
      </w:r>
      <w:r w:rsidR="00577699" w:rsidRPr="00146806">
        <w:rPr>
          <w:rFonts w:asciiTheme="minorHAnsi" w:hAnsiTheme="minorHAnsi"/>
          <w:i/>
          <w:sz w:val="22"/>
          <w:szCs w:val="22"/>
        </w:rPr>
        <w:t xml:space="preserve">påslagsordning. </w:t>
      </w:r>
      <w:r w:rsidR="000F6A45">
        <w:rPr>
          <w:rFonts w:asciiTheme="minorHAnsi" w:hAnsiTheme="minorHAnsi"/>
          <w:sz w:val="22"/>
          <w:szCs w:val="22"/>
        </w:rPr>
        <w:t xml:space="preserve">Med dette menes </w:t>
      </w:r>
      <w:r w:rsidR="000F6A45" w:rsidRPr="000F6A45">
        <w:rPr>
          <w:rFonts w:asciiTheme="minorHAnsi" w:hAnsiTheme="minorHAnsi"/>
          <w:sz w:val="22"/>
          <w:szCs w:val="22"/>
        </w:rPr>
        <w:t>en m</w:t>
      </w:r>
      <w:r w:rsidR="00577699" w:rsidRPr="000F6A45">
        <w:rPr>
          <w:rFonts w:asciiTheme="minorHAnsi" w:hAnsiTheme="minorHAnsi"/>
          <w:iCs/>
          <w:sz w:val="22"/>
          <w:szCs w:val="22"/>
        </w:rPr>
        <w:t>odell</w:t>
      </w:r>
      <w:r w:rsidR="000F6A45">
        <w:rPr>
          <w:rFonts w:asciiTheme="minorHAnsi" w:hAnsiTheme="minorHAnsi"/>
          <w:iCs/>
          <w:sz w:val="22"/>
          <w:szCs w:val="22"/>
        </w:rPr>
        <w:t xml:space="preserve"> der ordningen </w:t>
      </w:r>
      <w:r w:rsidR="00756929" w:rsidRPr="00146806">
        <w:rPr>
          <w:rFonts w:asciiTheme="minorHAnsi" w:hAnsiTheme="minorHAnsi"/>
          <w:sz w:val="22"/>
          <w:szCs w:val="22"/>
        </w:rPr>
        <w:t>reguleres med alminnelig lønnsvekst. Den innebærer en sjablonmessig dødelighetsarv, og utbetalingene skal som hovedregel være livsvarig</w:t>
      </w:r>
      <w:r w:rsidR="000F6A45">
        <w:rPr>
          <w:rFonts w:asciiTheme="minorHAnsi" w:hAnsiTheme="minorHAnsi"/>
          <w:color w:val="000000"/>
          <w:sz w:val="22"/>
          <w:szCs w:val="22"/>
        </w:rPr>
        <w:t xml:space="preserve">e. </w:t>
      </w:r>
      <w:r w:rsidR="000F6A45">
        <w:rPr>
          <w:rFonts w:asciiTheme="minorHAnsi" w:hAnsiTheme="minorHAnsi"/>
          <w:color w:val="000000"/>
          <w:sz w:val="22"/>
          <w:szCs w:val="22"/>
        </w:rPr>
        <w:br/>
      </w:r>
      <w:r w:rsidR="000F6A45">
        <w:rPr>
          <w:rFonts w:asciiTheme="minorHAnsi" w:hAnsiTheme="minorHAnsi"/>
          <w:color w:val="000000"/>
          <w:sz w:val="22"/>
          <w:szCs w:val="22"/>
        </w:rPr>
        <w:br/>
      </w:r>
      <w:r w:rsidR="00DC3682" w:rsidRPr="00146806">
        <w:rPr>
          <w:rFonts w:asciiTheme="minorHAnsi" w:hAnsiTheme="minorHAnsi"/>
          <w:b/>
          <w:sz w:val="22"/>
          <w:szCs w:val="22"/>
        </w:rPr>
        <w:t>Samordningsregler og individuell garanti</w:t>
      </w:r>
      <w:r w:rsidR="00DC3682" w:rsidRPr="00146806">
        <w:rPr>
          <w:rFonts w:asciiTheme="minorHAnsi" w:hAnsiTheme="minorHAnsi"/>
          <w:sz w:val="22"/>
          <w:szCs w:val="22"/>
        </w:rPr>
        <w:br/>
      </w:r>
      <w:r w:rsidR="00756929" w:rsidRPr="00146806">
        <w:rPr>
          <w:rFonts w:asciiTheme="minorHAnsi" w:hAnsiTheme="minorHAnsi"/>
          <w:sz w:val="22"/>
          <w:szCs w:val="22"/>
        </w:rPr>
        <w:t xml:space="preserve">I dagens regelverk trekkes ikke all folketrygd fra tjenestepensjonen når nettopensjonen beregnes; det er såkalte samordningsfordeler. Arbeidsgruppen har lagt til grunn at dette prinsippet skal videreføres. </w:t>
      </w:r>
    </w:p>
    <w:p w:rsidR="00756929" w:rsidRPr="00146806" w:rsidRDefault="00756929" w:rsidP="00146806">
      <w:pPr>
        <w:spacing w:line="240" w:lineRule="auto"/>
        <w:rPr>
          <w:rFonts w:cs="Times New Roman"/>
          <w:color w:val="000000"/>
        </w:rPr>
      </w:pPr>
      <w:r w:rsidRPr="00146806">
        <w:rPr>
          <w:rFonts w:cs="Times New Roman"/>
          <w:color w:val="000000"/>
        </w:rPr>
        <w:t>Den nye folketrygden er utformet ved at pensjonsrettighetene akkumuleres i en pensjonsbeholdning. Nye samordningsregler må ta utgangspunkt i dette. En nærliggende løsning, som også kan ivareta profilen i dagens samordningsregler, er at den samordningsfrie delen av folketrygden beregnes som en sum av en prosentandel av pensjons-beholdningen i folketrygden og et fast kronebeløp målt i G.</w:t>
      </w:r>
    </w:p>
    <w:p w:rsidR="007304D6" w:rsidRPr="00146806" w:rsidRDefault="007304D6" w:rsidP="00146806">
      <w:pPr>
        <w:spacing w:line="240" w:lineRule="auto"/>
        <w:rPr>
          <w:rFonts w:cs="Times New Roman"/>
          <w:color w:val="000000"/>
        </w:rPr>
      </w:pPr>
      <w:r w:rsidRPr="00146806">
        <w:rPr>
          <w:rFonts w:cs="Times New Roman"/>
          <w:color w:val="000000"/>
        </w:rPr>
        <w:t>De nye samordningsreglene må fases gradvis inn i takt med innfasingen av ny opptjenings-modell i folketrygden.</w:t>
      </w:r>
    </w:p>
    <w:p w:rsidR="007304D6" w:rsidRPr="003B57FE" w:rsidRDefault="007304D6" w:rsidP="00146806">
      <w:pPr>
        <w:spacing w:line="240" w:lineRule="auto"/>
        <w:rPr>
          <w:b/>
        </w:rPr>
      </w:pPr>
      <w:r w:rsidRPr="00146806">
        <w:t>Personer med offentlig tjenestepensjon som er født før 1959 har fått en individuell garanti som sikrer at samlet pensjon blir minst 66 prosent av pensjonsgrunnlaget for personer med full opptjeningstid i tjenestepensjonsordningen. Garantien gjelder etter levealdersjustering og samordning, og det skal forutsettes at alderspensjon fra folketrygden blir tatt ut samtidig med tjenestepensjonen.</w:t>
      </w:r>
      <w:r w:rsidR="00913F6C" w:rsidRPr="00146806">
        <w:br/>
      </w:r>
      <w:r w:rsidR="00913F6C" w:rsidRPr="00146806">
        <w:br/>
      </w:r>
      <w:r w:rsidR="00913F6C" w:rsidRPr="00146806">
        <w:rPr>
          <w:b/>
        </w:rPr>
        <w:t>Individuell garanti</w:t>
      </w:r>
      <w:r w:rsidR="003B57FE">
        <w:rPr>
          <w:b/>
        </w:rPr>
        <w:br/>
      </w:r>
      <w:r w:rsidRPr="00146806">
        <w:t xml:space="preserve">Arbeidsgruppen beskriver i rapporten to ulike måter å fase ut den individuelle garantien på, som begge begrenser forskjellene i pensjon mellom påfølgende årskull. Den </w:t>
      </w:r>
      <w:r w:rsidRPr="00146806">
        <w:rPr>
          <w:i/>
          <w:iCs/>
        </w:rPr>
        <w:t xml:space="preserve">første </w:t>
      </w:r>
      <w:r w:rsidRPr="00146806">
        <w:t>metoden innebærer at garantien til personer født i 1959 eller senere beregnes på samme måte som garantien til personer født tidligere, men senere årskull får en avtakende andel av full garanti.</w:t>
      </w:r>
    </w:p>
    <w:p w:rsidR="007304D6" w:rsidRPr="00146806" w:rsidRDefault="007304D6" w:rsidP="00146806">
      <w:pPr>
        <w:spacing w:line="240" w:lineRule="auto"/>
      </w:pPr>
      <w:r w:rsidRPr="00146806">
        <w:t xml:space="preserve">Den </w:t>
      </w:r>
      <w:r w:rsidRPr="00146806">
        <w:rPr>
          <w:i/>
          <w:iCs/>
        </w:rPr>
        <w:t xml:space="preserve">andre </w:t>
      </w:r>
      <w:r w:rsidRPr="00146806">
        <w:t>metoden tar hensyn til hvor stor opptjening den enkelte hadde i tjenestepensjons-ordningen ved utgangen av 2010, og er omtalt etter ønske fra arbeidstakerorganisasjonene.</w:t>
      </w:r>
      <w:r w:rsidR="00913F6C" w:rsidRPr="00146806">
        <w:t xml:space="preserve"> </w:t>
      </w:r>
      <w:r w:rsidRPr="00146806">
        <w:t xml:space="preserve">I </w:t>
      </w:r>
      <w:r w:rsidRPr="00146806">
        <w:lastRenderedPageBreak/>
        <w:t>rapporten beskrives et alternativ der yngre årskull (født fra og med 1959) får en andel av den individuelle garantien som er gitt til eldre årskull, og der andelen avhenger av hvor stor andel av samlet opptjening i en offentlig tjenestepensjonsordning som er før 2011.</w:t>
      </w:r>
    </w:p>
    <w:p w:rsidR="00DC3682" w:rsidRPr="00146806" w:rsidRDefault="00DC3682" w:rsidP="00146806">
      <w:pPr>
        <w:spacing w:line="240" w:lineRule="auto"/>
      </w:pPr>
      <w:r w:rsidRPr="00146806">
        <w:rPr>
          <w:b/>
        </w:rPr>
        <w:t>Regulering</w:t>
      </w:r>
    </w:p>
    <w:p w:rsidR="00DC3682" w:rsidRPr="00146806" w:rsidRDefault="003C0F00" w:rsidP="0004515A">
      <w:pPr>
        <w:autoSpaceDE w:val="0"/>
        <w:autoSpaceDN w:val="0"/>
        <w:adjustRightInd w:val="0"/>
        <w:spacing w:after="0" w:line="240" w:lineRule="auto"/>
      </w:pPr>
      <w:r w:rsidRPr="0004515A">
        <w:rPr>
          <w:rFonts w:cs="Times New Roman"/>
          <w:color w:val="000000"/>
        </w:rPr>
        <w:t>Arbeidsgruppen legger til grunn at opptjente pensjonsrettigheter i de offentlige tjeneste-pensjonsordningene skal reguleres i takt med den alminnelige lønnsveksten (G) og at reguleringen i de fonderte ordningene skal finansieres ved en egen reguleringspremie på tilsvarende måte som i dag.</w:t>
      </w:r>
      <w:r w:rsidR="0004515A">
        <w:rPr>
          <w:rFonts w:cs="Times New Roman"/>
          <w:color w:val="000000"/>
        </w:rPr>
        <w:t xml:space="preserve"> </w:t>
      </w:r>
      <w:r w:rsidRPr="00146806">
        <w:rPr>
          <w:rFonts w:cs="Times New Roman"/>
          <w:color w:val="000000"/>
        </w:rPr>
        <w:t>Det legges til grunn at pensjoner under utbetaling årlig fortsatt skal reguleres med lønns-veksten fratrukket 0,75 prosent, altså på samme måte som alderspensjon fra folketrygden. Denne reguleringen er også en mulighet i den nye tjenestepensjonsloven for privat sektor.</w:t>
      </w:r>
      <w:r w:rsidR="00DC3682" w:rsidRPr="00146806">
        <w:t xml:space="preserve"> </w:t>
      </w:r>
      <w:r w:rsidR="00DC3682" w:rsidRPr="00146806">
        <w:br/>
      </w:r>
    </w:p>
    <w:p w:rsidR="00913F6C" w:rsidRPr="0004515A" w:rsidRDefault="00913F6C" w:rsidP="00146806">
      <w:pPr>
        <w:autoSpaceDE w:val="0"/>
        <w:autoSpaceDN w:val="0"/>
        <w:adjustRightInd w:val="0"/>
        <w:spacing w:after="0" w:line="240" w:lineRule="auto"/>
        <w:rPr>
          <w:rFonts w:cs="Times New Roman"/>
          <w:color w:val="000000"/>
        </w:rPr>
      </w:pPr>
      <w:r w:rsidRPr="0004515A">
        <w:rPr>
          <w:rFonts w:cs="Times New Roman"/>
          <w:b/>
          <w:bCs/>
          <w:iCs/>
          <w:color w:val="000000"/>
        </w:rPr>
        <w:t xml:space="preserve">Innfasing av nye regler </w:t>
      </w:r>
    </w:p>
    <w:p w:rsidR="001D4EC7" w:rsidRDefault="001D4EC7" w:rsidP="00146806">
      <w:pPr>
        <w:spacing w:line="240" w:lineRule="auto"/>
        <w:rPr>
          <w:rFonts w:cs="Times New Roman"/>
          <w:color w:val="000000"/>
        </w:rPr>
      </w:pPr>
      <w:r w:rsidRPr="004D5988">
        <w:rPr>
          <w:rFonts w:cs="Times New Roman"/>
          <w:color w:val="000000"/>
        </w:rPr>
        <w:t xml:space="preserve">Det er tre hovedelementer i en ny pensjonsordning for offentlige ansatte som skal fases inn; </w:t>
      </w:r>
      <w:r>
        <w:rPr>
          <w:rFonts w:cs="Times New Roman"/>
          <w:color w:val="000000"/>
        </w:rPr>
        <w:t>n</w:t>
      </w:r>
      <w:r w:rsidRPr="004D5988">
        <w:rPr>
          <w:rFonts w:cs="Times New Roman"/>
          <w:color w:val="000000"/>
        </w:rPr>
        <w:t>y fleksibel AFP, fleksibelt uttak av tjenestepensjon og nye opptjeningsregler for alders-pensjon.</w:t>
      </w:r>
    </w:p>
    <w:p w:rsidR="00913F6C" w:rsidRPr="00146806" w:rsidRDefault="00913F6C" w:rsidP="00146806">
      <w:pPr>
        <w:spacing w:line="240" w:lineRule="auto"/>
      </w:pPr>
      <w:r w:rsidRPr="00146806">
        <w:rPr>
          <w:rFonts w:cs="Times New Roman"/>
          <w:color w:val="000000"/>
        </w:rPr>
        <w:t>Ny, fleksibel AFP skal erstatte AFP som tidligpe</w:t>
      </w:r>
      <w:r w:rsidR="001D4EC7">
        <w:rPr>
          <w:rFonts w:cs="Times New Roman"/>
          <w:color w:val="000000"/>
        </w:rPr>
        <w:t>nsjon og må derfor ses i sammen</w:t>
      </w:r>
      <w:r w:rsidRPr="00146806">
        <w:rPr>
          <w:rFonts w:cs="Times New Roman"/>
          <w:color w:val="000000"/>
        </w:rPr>
        <w:t xml:space="preserve">heng med fleksibelt uttak av alderspensjon; ny AFP bør fases </w:t>
      </w:r>
      <w:r w:rsidR="0004515A" w:rsidRPr="00146806">
        <w:rPr>
          <w:rFonts w:cs="Times New Roman"/>
          <w:color w:val="000000"/>
        </w:rPr>
        <w:t xml:space="preserve">hovedelementer i en ny pensjonsordning for offentlige ansatte som skal fases inn: ny fleksibel AFP, fleksibelt uttak av tjenestepensjon </w:t>
      </w:r>
      <w:r w:rsidRPr="00146806">
        <w:rPr>
          <w:rFonts w:cs="Times New Roman"/>
          <w:color w:val="000000"/>
        </w:rPr>
        <w:t>inn samtidig med muligheten til å ta ut alderspensjonen fleksibelt. Nye opptjeningsregler kan i prinsippet fases inn uavhengig av hvordan fleksibelt uttak og ny AFP fases inn. Rapporten beskriver et tidsvindu for innfasing, altså hva arbeidsgruppen oppfatter å være senest og tidligst mulig realistisk innfasing. Nye regler kan tidligst tre i kraft fra 2018, men deler av det nye regelverket vil trolig først få virkning fra et senere tidspunkt.</w:t>
      </w:r>
    </w:p>
    <w:p w:rsidR="00E23BF9" w:rsidRPr="00146806" w:rsidRDefault="00002DBE" w:rsidP="00146806">
      <w:pPr>
        <w:spacing w:line="240" w:lineRule="auto"/>
      </w:pPr>
      <w:r>
        <w:rPr>
          <w:b/>
        </w:rPr>
        <w:t>Veien videre</w:t>
      </w:r>
      <w:r w:rsidR="00BE3675">
        <w:br/>
      </w:r>
      <w:r w:rsidR="00E23BF9" w:rsidRPr="00146806">
        <w:t xml:space="preserve">Rapporten skal være grunnlag </w:t>
      </w:r>
      <w:r w:rsidR="004D5988" w:rsidRPr="00146806">
        <w:rPr>
          <w:rFonts w:eastAsia="Times New Roman" w:cs="Helvetica"/>
          <w:color w:val="333333"/>
          <w:lang w:eastAsia="nb-NO"/>
        </w:rPr>
        <w:t>for å vurdere om man</w:t>
      </w:r>
      <w:r w:rsidR="004D5988">
        <w:rPr>
          <w:rFonts w:eastAsia="Times New Roman" w:cs="Helvetica"/>
          <w:color w:val="333333"/>
          <w:lang w:eastAsia="nb-NO"/>
        </w:rPr>
        <w:t>,</w:t>
      </w:r>
      <w:r w:rsidR="004D5988" w:rsidRPr="00146806">
        <w:rPr>
          <w:rFonts w:eastAsia="Times New Roman" w:cs="Helvetica"/>
          <w:color w:val="333333"/>
          <w:lang w:eastAsia="nb-NO"/>
        </w:rPr>
        <w:t xml:space="preserve"> sammen med partene</w:t>
      </w:r>
      <w:r w:rsidR="004D5988">
        <w:rPr>
          <w:rFonts w:eastAsia="Times New Roman" w:cs="Helvetica"/>
          <w:color w:val="333333"/>
          <w:lang w:eastAsia="nb-NO"/>
        </w:rPr>
        <w:t xml:space="preserve"> i arbeidslivet</w:t>
      </w:r>
      <w:r w:rsidR="004D5988" w:rsidRPr="00146806">
        <w:rPr>
          <w:rFonts w:eastAsia="Times New Roman" w:cs="Helvetica"/>
          <w:color w:val="333333"/>
          <w:lang w:eastAsia="nb-NO"/>
        </w:rPr>
        <w:t xml:space="preserve">, skal arbeide for å oppnå enighet om nye pensjonsordninger for offentlig ansatte. </w:t>
      </w:r>
      <w:r w:rsidR="00BE3675">
        <w:rPr>
          <w:rFonts w:eastAsia="Times New Roman" w:cs="Helvetica"/>
          <w:color w:val="333333"/>
          <w:lang w:eastAsia="nb-NO"/>
        </w:rPr>
        <w:t>Den</w:t>
      </w:r>
      <w:r w:rsidR="00E23BF9" w:rsidRPr="00146806">
        <w:t xml:space="preserve"> 18. februar hadde sta</w:t>
      </w:r>
      <w:r w:rsidR="003C0F00" w:rsidRPr="00146806">
        <w:t>t</w:t>
      </w:r>
      <w:r w:rsidR="00E23BF9" w:rsidRPr="00146806">
        <w:t>sråden møte med hovedorganisasjonene</w:t>
      </w:r>
      <w:r w:rsidR="00BE3675">
        <w:t>, og det ble klart at det var bred tilslutning til dette. Det g</w:t>
      </w:r>
      <w:r w:rsidR="00E23BF9" w:rsidRPr="00146806">
        <w:t>jenstår en del utredningsarbeid</w:t>
      </w:r>
      <w:r w:rsidR="00BE3675">
        <w:t xml:space="preserve">. Når dette arbeidet er utført skal forslaget ut på høring(er). Så skal det utarbeides proposisjon(er) som grunnlag for stortingsvedtak. </w:t>
      </w:r>
      <w:r w:rsidR="00E23BF9" w:rsidRPr="00146806">
        <w:br/>
      </w:r>
      <w:r w:rsidR="00BE3675">
        <w:t>Nytt regelverk kan iverksettes tidligst i 2018.</w:t>
      </w:r>
      <w:r w:rsidR="00E23BF9" w:rsidRPr="00146806">
        <w:br/>
      </w:r>
    </w:p>
    <w:sectPr w:rsidR="00E23BF9" w:rsidRPr="00146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
    <w:altName w:val="Times New Roman"/>
    <w:charset w:val="00"/>
    <w:family w:val="auto"/>
    <w:pitch w:val="default"/>
  </w:font>
  <w:font w:name="Times New Roman">
    <w:altName w:val="Times New Roman PSMT"/>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DepCentury Old Style">
    <w:altName w:val="Dep Century Old Styl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4175"/>
    <w:multiLevelType w:val="hybridMultilevel"/>
    <w:tmpl w:val="9F029AA8"/>
    <w:lvl w:ilvl="0" w:tplc="7412302E">
      <w:numFmt w:val="bullet"/>
      <w:lvlText w:val="-"/>
      <w:lvlJc w:val="left"/>
      <w:pPr>
        <w:ind w:left="720" w:hanging="360"/>
      </w:pPr>
      <w:rPr>
        <w:rFonts w:ascii="HelveticaNeue" w:eastAsia="Times New Roman" w:hAnsi="HelveticaNeue"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19E15CC"/>
    <w:multiLevelType w:val="hybridMultilevel"/>
    <w:tmpl w:val="29EE1E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D2"/>
    <w:rsid w:val="00002DBE"/>
    <w:rsid w:val="000149D4"/>
    <w:rsid w:val="0004515A"/>
    <w:rsid w:val="000A2EC2"/>
    <w:rsid w:val="000F6A45"/>
    <w:rsid w:val="00146806"/>
    <w:rsid w:val="00146EA5"/>
    <w:rsid w:val="001D4EC7"/>
    <w:rsid w:val="00234CC8"/>
    <w:rsid w:val="00267966"/>
    <w:rsid w:val="003B57FE"/>
    <w:rsid w:val="003C0F00"/>
    <w:rsid w:val="00493D89"/>
    <w:rsid w:val="004D5988"/>
    <w:rsid w:val="00577699"/>
    <w:rsid w:val="005B14EB"/>
    <w:rsid w:val="00604FD9"/>
    <w:rsid w:val="00616FBC"/>
    <w:rsid w:val="00617603"/>
    <w:rsid w:val="00625502"/>
    <w:rsid w:val="00635B0E"/>
    <w:rsid w:val="00696768"/>
    <w:rsid w:val="006F6E89"/>
    <w:rsid w:val="007304D6"/>
    <w:rsid w:val="00735450"/>
    <w:rsid w:val="00746B25"/>
    <w:rsid w:val="00756929"/>
    <w:rsid w:val="007619BA"/>
    <w:rsid w:val="007632D2"/>
    <w:rsid w:val="00811CC7"/>
    <w:rsid w:val="008E4F14"/>
    <w:rsid w:val="00913F6C"/>
    <w:rsid w:val="00972992"/>
    <w:rsid w:val="00985B62"/>
    <w:rsid w:val="00B15154"/>
    <w:rsid w:val="00BE3675"/>
    <w:rsid w:val="00C82CA3"/>
    <w:rsid w:val="00CC262D"/>
    <w:rsid w:val="00D35828"/>
    <w:rsid w:val="00D53ECB"/>
    <w:rsid w:val="00DC3682"/>
    <w:rsid w:val="00E00ED9"/>
    <w:rsid w:val="00E23BF9"/>
    <w:rsid w:val="00E83F6C"/>
    <w:rsid w:val="00F30C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7632D2"/>
    <w:pPr>
      <w:spacing w:before="300" w:after="150" w:line="240" w:lineRule="auto"/>
      <w:outlineLvl w:val="0"/>
    </w:pPr>
    <w:rPr>
      <w:rFonts w:ascii="inherit" w:eastAsia="Times New Roman" w:hAnsi="inherit" w:cs="Times New Roman"/>
      <w:kern w:val="36"/>
      <w:sz w:val="75"/>
      <w:szCs w:val="7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32D2"/>
    <w:rPr>
      <w:rFonts w:ascii="inherit" w:eastAsia="Times New Roman" w:hAnsi="inherit" w:cs="Times New Roman"/>
      <w:kern w:val="36"/>
      <w:sz w:val="75"/>
      <w:szCs w:val="75"/>
      <w:lang w:eastAsia="nb-NO"/>
    </w:rPr>
  </w:style>
  <w:style w:type="character" w:styleId="Hyperkobling">
    <w:name w:val="Hyperlink"/>
    <w:basedOn w:val="Standardskriftforavsnitt"/>
    <w:uiPriority w:val="99"/>
    <w:semiHidden/>
    <w:unhideWhenUsed/>
    <w:rsid w:val="007632D2"/>
    <w:rPr>
      <w:strike w:val="0"/>
      <w:dstrike w:val="0"/>
      <w:color w:val="7F9EBE"/>
      <w:u w:val="none"/>
      <w:effect w:val="none"/>
      <w:shd w:val="clear" w:color="auto" w:fill="auto"/>
    </w:rPr>
  </w:style>
  <w:style w:type="character" w:styleId="Sterk">
    <w:name w:val="Strong"/>
    <w:basedOn w:val="Standardskriftforavsnitt"/>
    <w:uiPriority w:val="22"/>
    <w:qFormat/>
    <w:rsid w:val="007632D2"/>
    <w:rPr>
      <w:b/>
      <w:bCs/>
    </w:rPr>
  </w:style>
  <w:style w:type="paragraph" w:styleId="NormalWeb">
    <w:name w:val="Normal (Web)"/>
    <w:basedOn w:val="Normal"/>
    <w:uiPriority w:val="99"/>
    <w:unhideWhenUsed/>
    <w:rsid w:val="007632D2"/>
    <w:pPr>
      <w:spacing w:after="150" w:line="240" w:lineRule="auto"/>
    </w:pPr>
    <w:rPr>
      <w:rFonts w:ascii="Times New Roman" w:eastAsia="Times New Roman" w:hAnsi="Times New Roman" w:cs="Times New Roman"/>
      <w:sz w:val="24"/>
      <w:szCs w:val="24"/>
      <w:lang w:eastAsia="nb-NO"/>
    </w:rPr>
  </w:style>
  <w:style w:type="character" w:customStyle="1" w:styleId="article-byline-news-tag2">
    <w:name w:val="article-byline-news-tag2"/>
    <w:basedOn w:val="Standardskriftforavsnitt"/>
    <w:rsid w:val="007632D2"/>
    <w:rPr>
      <w:color w:val="FFFFFF"/>
      <w:sz w:val="21"/>
      <w:szCs w:val="21"/>
      <w:shd w:val="clear" w:color="auto" w:fill="BE85B6"/>
    </w:rPr>
  </w:style>
  <w:style w:type="character" w:customStyle="1" w:styleId="article-byline-news-date2">
    <w:name w:val="article-byline-news-date2"/>
    <w:basedOn w:val="Standardskriftforavsnitt"/>
    <w:rsid w:val="007632D2"/>
    <w:rPr>
      <w:b/>
      <w:bCs/>
      <w:color w:val="BE85B6"/>
    </w:rPr>
  </w:style>
  <w:style w:type="paragraph" w:styleId="Listeavsnitt">
    <w:name w:val="List Paragraph"/>
    <w:basedOn w:val="Normal"/>
    <w:uiPriority w:val="34"/>
    <w:qFormat/>
    <w:rsid w:val="00635B0E"/>
    <w:pPr>
      <w:ind w:left="720"/>
      <w:contextualSpacing/>
    </w:pPr>
  </w:style>
  <w:style w:type="paragraph" w:customStyle="1" w:styleId="Default">
    <w:name w:val="Default"/>
    <w:rsid w:val="007619BA"/>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7632D2"/>
    <w:pPr>
      <w:spacing w:before="300" w:after="150" w:line="240" w:lineRule="auto"/>
      <w:outlineLvl w:val="0"/>
    </w:pPr>
    <w:rPr>
      <w:rFonts w:ascii="inherit" w:eastAsia="Times New Roman" w:hAnsi="inherit" w:cs="Times New Roman"/>
      <w:kern w:val="36"/>
      <w:sz w:val="75"/>
      <w:szCs w:val="7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32D2"/>
    <w:rPr>
      <w:rFonts w:ascii="inherit" w:eastAsia="Times New Roman" w:hAnsi="inherit" w:cs="Times New Roman"/>
      <w:kern w:val="36"/>
      <w:sz w:val="75"/>
      <w:szCs w:val="75"/>
      <w:lang w:eastAsia="nb-NO"/>
    </w:rPr>
  </w:style>
  <w:style w:type="character" w:styleId="Hyperkobling">
    <w:name w:val="Hyperlink"/>
    <w:basedOn w:val="Standardskriftforavsnitt"/>
    <w:uiPriority w:val="99"/>
    <w:semiHidden/>
    <w:unhideWhenUsed/>
    <w:rsid w:val="007632D2"/>
    <w:rPr>
      <w:strike w:val="0"/>
      <w:dstrike w:val="0"/>
      <w:color w:val="7F9EBE"/>
      <w:u w:val="none"/>
      <w:effect w:val="none"/>
      <w:shd w:val="clear" w:color="auto" w:fill="auto"/>
    </w:rPr>
  </w:style>
  <w:style w:type="character" w:styleId="Sterk">
    <w:name w:val="Strong"/>
    <w:basedOn w:val="Standardskriftforavsnitt"/>
    <w:uiPriority w:val="22"/>
    <w:qFormat/>
    <w:rsid w:val="007632D2"/>
    <w:rPr>
      <w:b/>
      <w:bCs/>
    </w:rPr>
  </w:style>
  <w:style w:type="paragraph" w:styleId="NormalWeb">
    <w:name w:val="Normal (Web)"/>
    <w:basedOn w:val="Normal"/>
    <w:uiPriority w:val="99"/>
    <w:unhideWhenUsed/>
    <w:rsid w:val="007632D2"/>
    <w:pPr>
      <w:spacing w:after="150" w:line="240" w:lineRule="auto"/>
    </w:pPr>
    <w:rPr>
      <w:rFonts w:ascii="Times New Roman" w:eastAsia="Times New Roman" w:hAnsi="Times New Roman" w:cs="Times New Roman"/>
      <w:sz w:val="24"/>
      <w:szCs w:val="24"/>
      <w:lang w:eastAsia="nb-NO"/>
    </w:rPr>
  </w:style>
  <w:style w:type="character" w:customStyle="1" w:styleId="article-byline-news-tag2">
    <w:name w:val="article-byline-news-tag2"/>
    <w:basedOn w:val="Standardskriftforavsnitt"/>
    <w:rsid w:val="007632D2"/>
    <w:rPr>
      <w:color w:val="FFFFFF"/>
      <w:sz w:val="21"/>
      <w:szCs w:val="21"/>
      <w:shd w:val="clear" w:color="auto" w:fill="BE85B6"/>
    </w:rPr>
  </w:style>
  <w:style w:type="character" w:customStyle="1" w:styleId="article-byline-news-date2">
    <w:name w:val="article-byline-news-date2"/>
    <w:basedOn w:val="Standardskriftforavsnitt"/>
    <w:rsid w:val="007632D2"/>
    <w:rPr>
      <w:b/>
      <w:bCs/>
      <w:color w:val="BE85B6"/>
    </w:rPr>
  </w:style>
  <w:style w:type="paragraph" w:styleId="Listeavsnitt">
    <w:name w:val="List Paragraph"/>
    <w:basedOn w:val="Normal"/>
    <w:uiPriority w:val="34"/>
    <w:qFormat/>
    <w:rsid w:val="00635B0E"/>
    <w:pPr>
      <w:ind w:left="720"/>
      <w:contextualSpacing/>
    </w:pPr>
  </w:style>
  <w:style w:type="paragraph" w:customStyle="1" w:styleId="Default">
    <w:name w:val="Default"/>
    <w:rsid w:val="007619BA"/>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7375">
      <w:bodyDiv w:val="1"/>
      <w:marLeft w:val="0"/>
      <w:marRight w:val="0"/>
      <w:marTop w:val="0"/>
      <w:marBottom w:val="0"/>
      <w:divBdr>
        <w:top w:val="none" w:sz="0" w:space="0" w:color="auto"/>
        <w:left w:val="none" w:sz="0" w:space="0" w:color="auto"/>
        <w:bottom w:val="none" w:sz="0" w:space="0" w:color="auto"/>
        <w:right w:val="none" w:sz="0" w:space="0" w:color="auto"/>
      </w:divBdr>
      <w:divsChild>
        <w:div w:id="917010248">
          <w:marLeft w:val="0"/>
          <w:marRight w:val="0"/>
          <w:marTop w:val="0"/>
          <w:marBottom w:val="900"/>
          <w:divBdr>
            <w:top w:val="none" w:sz="0" w:space="0" w:color="auto"/>
            <w:left w:val="none" w:sz="0" w:space="0" w:color="auto"/>
            <w:bottom w:val="none" w:sz="0" w:space="0" w:color="auto"/>
            <w:right w:val="none" w:sz="0" w:space="0" w:color="auto"/>
          </w:divBdr>
          <w:divsChild>
            <w:div w:id="250698416">
              <w:marLeft w:val="0"/>
              <w:marRight w:val="0"/>
              <w:marTop w:val="0"/>
              <w:marBottom w:val="0"/>
              <w:divBdr>
                <w:top w:val="none" w:sz="0" w:space="0" w:color="auto"/>
                <w:left w:val="none" w:sz="0" w:space="0" w:color="auto"/>
                <w:bottom w:val="none" w:sz="0" w:space="0" w:color="auto"/>
                <w:right w:val="none" w:sz="0" w:space="0" w:color="auto"/>
              </w:divBdr>
              <w:divsChild>
                <w:div w:id="434253020">
                  <w:marLeft w:val="0"/>
                  <w:marRight w:val="0"/>
                  <w:marTop w:val="0"/>
                  <w:marBottom w:val="0"/>
                  <w:divBdr>
                    <w:top w:val="none" w:sz="0" w:space="0" w:color="auto"/>
                    <w:left w:val="none" w:sz="0" w:space="0" w:color="auto"/>
                    <w:bottom w:val="none" w:sz="0" w:space="0" w:color="auto"/>
                    <w:right w:val="none" w:sz="0" w:space="0" w:color="auto"/>
                  </w:divBdr>
                </w:div>
                <w:div w:id="16862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8492">
      <w:bodyDiv w:val="1"/>
      <w:marLeft w:val="0"/>
      <w:marRight w:val="0"/>
      <w:marTop w:val="0"/>
      <w:marBottom w:val="0"/>
      <w:divBdr>
        <w:top w:val="none" w:sz="0" w:space="0" w:color="auto"/>
        <w:left w:val="none" w:sz="0" w:space="0" w:color="auto"/>
        <w:bottom w:val="none" w:sz="0" w:space="0" w:color="auto"/>
        <w:right w:val="none" w:sz="0" w:space="0" w:color="auto"/>
      </w:divBdr>
      <w:divsChild>
        <w:div w:id="200436077">
          <w:marLeft w:val="0"/>
          <w:marRight w:val="0"/>
          <w:marTop w:val="0"/>
          <w:marBottom w:val="0"/>
          <w:divBdr>
            <w:top w:val="none" w:sz="0" w:space="0" w:color="auto"/>
            <w:left w:val="none" w:sz="0" w:space="0" w:color="auto"/>
            <w:bottom w:val="none" w:sz="0" w:space="0" w:color="auto"/>
            <w:right w:val="none" w:sz="0" w:space="0" w:color="auto"/>
          </w:divBdr>
          <w:divsChild>
            <w:div w:id="1446731132">
              <w:marLeft w:val="-225"/>
              <w:marRight w:val="-225"/>
              <w:marTop w:val="0"/>
              <w:marBottom w:val="0"/>
              <w:divBdr>
                <w:top w:val="none" w:sz="0" w:space="0" w:color="auto"/>
                <w:left w:val="none" w:sz="0" w:space="0" w:color="auto"/>
                <w:bottom w:val="none" w:sz="0" w:space="0" w:color="auto"/>
                <w:right w:val="none" w:sz="0" w:space="0" w:color="auto"/>
              </w:divBdr>
              <w:divsChild>
                <w:div w:id="64496788">
                  <w:marLeft w:val="0"/>
                  <w:marRight w:val="0"/>
                  <w:marTop w:val="0"/>
                  <w:marBottom w:val="0"/>
                  <w:divBdr>
                    <w:top w:val="none" w:sz="0" w:space="0" w:color="auto"/>
                    <w:left w:val="none" w:sz="0" w:space="0" w:color="auto"/>
                    <w:bottom w:val="none" w:sz="0" w:space="0" w:color="auto"/>
                    <w:right w:val="none" w:sz="0" w:space="0" w:color="auto"/>
                  </w:divBdr>
                  <w:divsChild>
                    <w:div w:id="302465524">
                      <w:marLeft w:val="0"/>
                      <w:marRight w:val="0"/>
                      <w:marTop w:val="0"/>
                      <w:marBottom w:val="0"/>
                      <w:divBdr>
                        <w:top w:val="none" w:sz="0" w:space="0" w:color="auto"/>
                        <w:left w:val="none" w:sz="0" w:space="0" w:color="auto"/>
                        <w:bottom w:val="none" w:sz="0" w:space="0" w:color="auto"/>
                        <w:right w:val="none" w:sz="0" w:space="0" w:color="auto"/>
                      </w:divBdr>
                    </w:div>
                    <w:div w:id="1391733926">
                      <w:marLeft w:val="0"/>
                      <w:marRight w:val="0"/>
                      <w:marTop w:val="0"/>
                      <w:marBottom w:val="0"/>
                      <w:divBdr>
                        <w:top w:val="none" w:sz="0" w:space="0" w:color="auto"/>
                        <w:left w:val="none" w:sz="0" w:space="0" w:color="auto"/>
                        <w:bottom w:val="none" w:sz="0" w:space="0" w:color="auto"/>
                        <w:right w:val="none" w:sz="0" w:space="0" w:color="auto"/>
                      </w:divBdr>
                    </w:div>
                    <w:div w:id="1447000246">
                      <w:marLeft w:val="0"/>
                      <w:marRight w:val="0"/>
                      <w:marTop w:val="0"/>
                      <w:marBottom w:val="225"/>
                      <w:divBdr>
                        <w:top w:val="single" w:sz="6" w:space="8" w:color="CFCFD0"/>
                        <w:left w:val="none" w:sz="0" w:space="0" w:color="auto"/>
                        <w:bottom w:val="single" w:sz="6" w:space="8" w:color="CFCFD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globalassets/departementene/asd/dokumenter/2015/rapport_oftp_2015_12_1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7540</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Bjørg Åse Wølneberg</dc:creator>
  <cp:lastModifiedBy>Nicolay Biørn-Lian</cp:lastModifiedBy>
  <cp:revision>2</cp:revision>
  <dcterms:created xsi:type="dcterms:W3CDTF">2016-04-27T10:23:00Z</dcterms:created>
  <dcterms:modified xsi:type="dcterms:W3CDTF">2016-04-27T10:23:00Z</dcterms:modified>
</cp:coreProperties>
</file>